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BA6" w:rsidRDefault="00B77DCB" w:rsidP="009A3BA6">
      <w:pPr>
        <w:jc w:val="center"/>
        <w:rPr>
          <w:b/>
        </w:rPr>
      </w:pPr>
      <w:bookmarkStart w:id="0" w:name="_GoBack"/>
      <w:bookmarkEnd w:id="0"/>
      <w:r>
        <w:rPr>
          <w:b/>
        </w:rPr>
        <w:t xml:space="preserve">GRAYSON </w:t>
      </w:r>
      <w:r w:rsidR="009A3BA6">
        <w:rPr>
          <w:b/>
        </w:rPr>
        <w:t>COLLEGE</w:t>
      </w:r>
    </w:p>
    <w:p w:rsidR="009A3BA6" w:rsidRDefault="009A3BA6" w:rsidP="009A3BA6">
      <w:pPr>
        <w:jc w:val="center"/>
        <w:rPr>
          <w:b/>
        </w:rPr>
      </w:pPr>
      <w:r>
        <w:rPr>
          <w:b/>
        </w:rPr>
        <w:t xml:space="preserve">ANSWERS TO THREE QUESTIONS DEALING WITH </w:t>
      </w:r>
    </w:p>
    <w:p w:rsidR="009A3BA6" w:rsidRDefault="009A3BA6" w:rsidP="009A3BA6">
      <w:pPr>
        <w:jc w:val="center"/>
        <w:rPr>
          <w:b/>
        </w:rPr>
      </w:pPr>
      <w:r>
        <w:rPr>
          <w:b/>
        </w:rPr>
        <w:t>THE PUBLIC FUNDS INVESTMENT ACT</w:t>
      </w:r>
    </w:p>
    <w:p w:rsidR="00445ACE" w:rsidRDefault="00445ACE" w:rsidP="009A3BA6">
      <w:pPr>
        <w:jc w:val="center"/>
        <w:rPr>
          <w:b/>
        </w:rPr>
      </w:pPr>
      <w:r>
        <w:rPr>
          <w:b/>
        </w:rPr>
        <w:t>As of August 31, 201</w:t>
      </w:r>
      <w:r w:rsidR="004D703C">
        <w:rPr>
          <w:b/>
        </w:rPr>
        <w:t>7</w:t>
      </w:r>
    </w:p>
    <w:p w:rsidR="009A3BA6" w:rsidRDefault="009A3BA6" w:rsidP="009A3BA6">
      <w:pPr>
        <w:rPr>
          <w:b/>
        </w:rPr>
      </w:pPr>
    </w:p>
    <w:p w:rsidR="009A3BA6" w:rsidRDefault="009A3BA6" w:rsidP="009A3BA6">
      <w:pPr>
        <w:rPr>
          <w:b/>
        </w:rPr>
      </w:pPr>
    </w:p>
    <w:p w:rsidR="003669E5" w:rsidRDefault="003669E5" w:rsidP="003669E5">
      <w:pPr>
        <w:jc w:val="both"/>
      </w:pPr>
      <w:r>
        <w:t>The Public Funds Invest</w:t>
      </w:r>
      <w:r w:rsidR="000E6A0F">
        <w:t xml:space="preserve">ment Act requires Grayson </w:t>
      </w:r>
      <w:r>
        <w:t>College to submit the answers to three questions dealing with its investment practices to the State Auditor’s Office and to the Legislative Budget Board.  The College is also required to post this information on its website.</w:t>
      </w:r>
    </w:p>
    <w:p w:rsidR="003669E5" w:rsidRDefault="003669E5" w:rsidP="003669E5">
      <w:pPr>
        <w:jc w:val="both"/>
      </w:pPr>
    </w:p>
    <w:p w:rsidR="003669E5" w:rsidRDefault="003669E5" w:rsidP="003669E5">
      <w:pPr>
        <w:jc w:val="both"/>
      </w:pPr>
      <w:r>
        <w:t>Following are the three questions and the responses.</w:t>
      </w:r>
    </w:p>
    <w:p w:rsidR="003669E5" w:rsidRDefault="003669E5" w:rsidP="003669E5">
      <w:pPr>
        <w:jc w:val="both"/>
      </w:pPr>
    </w:p>
    <w:p w:rsidR="003669E5" w:rsidRDefault="003669E5" w:rsidP="003669E5">
      <w:pPr>
        <w:jc w:val="both"/>
        <w:rPr>
          <w:b/>
        </w:rPr>
      </w:pPr>
      <w:r>
        <w:rPr>
          <w:b/>
        </w:rPr>
        <w:t>Question 1: Does the institution employ outside investment advisors or managers and, if so, who are they (provide individual or firm name and address)?  Do the outside investment advisors have the authority to make investment decisions without obtaining prior approval?</w:t>
      </w:r>
    </w:p>
    <w:p w:rsidR="003669E5" w:rsidRDefault="003669E5" w:rsidP="003669E5">
      <w:pPr>
        <w:jc w:val="both"/>
        <w:rPr>
          <w:b/>
        </w:rPr>
      </w:pPr>
    </w:p>
    <w:p w:rsidR="003669E5" w:rsidRDefault="000E6A0F" w:rsidP="003669E5">
      <w:pPr>
        <w:jc w:val="both"/>
      </w:pPr>
      <w:r>
        <w:t xml:space="preserve">Response:  Grayson </w:t>
      </w:r>
      <w:r w:rsidR="003669E5">
        <w:t xml:space="preserve">College does </w:t>
      </w:r>
      <w:r w:rsidR="003669E5" w:rsidRPr="000E6A0F">
        <w:rPr>
          <w:u w:val="single"/>
        </w:rPr>
        <w:t>not</w:t>
      </w:r>
      <w:r w:rsidR="003669E5">
        <w:t xml:space="preserve"> employee outside investment advisors or managers.</w:t>
      </w:r>
    </w:p>
    <w:p w:rsidR="003669E5" w:rsidRDefault="003669E5" w:rsidP="003669E5">
      <w:pPr>
        <w:jc w:val="both"/>
      </w:pPr>
    </w:p>
    <w:p w:rsidR="00AC1E4C" w:rsidRPr="00AC1E4C" w:rsidRDefault="003669E5" w:rsidP="00AC1E4C">
      <w:pPr>
        <w:spacing w:before="150"/>
        <w:jc w:val="both"/>
        <w:rPr>
          <w:b/>
        </w:rPr>
      </w:pPr>
      <w:r w:rsidRPr="00AC1E4C">
        <w:rPr>
          <w:b/>
        </w:rPr>
        <w:t>Question 2:</w:t>
      </w:r>
      <w:r w:rsidR="00AC1E4C">
        <w:rPr>
          <w:b/>
        </w:rPr>
        <w:t xml:space="preserve"> </w:t>
      </w:r>
      <w:r w:rsidR="00AC1E4C" w:rsidRPr="00AC1E4C">
        <w:rPr>
          <w:b/>
        </w:rPr>
        <w:t>Does</w:t>
      </w:r>
      <w:r w:rsidR="00AC1E4C">
        <w:rPr>
          <w:b/>
        </w:rPr>
        <w:t xml:space="preserve"> </w:t>
      </w:r>
      <w:r w:rsidR="00AC1E4C" w:rsidRPr="00AC1E4C">
        <w:rPr>
          <w:b/>
        </w:rPr>
        <w:t>the institution use soft dollar, directed brokerage or directed commission, commission recapture, or similar arrangements (these arrangements typically involve using brokerage commissions as a means of paying for other related investment services through credits of a portion of brokerage commissions paid rather than through direct payments, or using selected brokers who will rebate a portion of commissions they receive on trades for the investor)? If the answer to this question is yes, the institution must summarize briefly the guidelines that govern the use of such arrangements.</w:t>
      </w:r>
    </w:p>
    <w:p w:rsidR="003669E5" w:rsidRPr="00AC1E4C" w:rsidRDefault="003669E5" w:rsidP="00AC1E4C">
      <w:pPr>
        <w:spacing w:before="150" w:line="414" w:lineRule="atLeast"/>
        <w:ind w:left="360"/>
        <w:jc w:val="both"/>
        <w:rPr>
          <w:b/>
        </w:rPr>
      </w:pPr>
    </w:p>
    <w:p w:rsidR="003669E5" w:rsidRDefault="003669E5" w:rsidP="003669E5">
      <w:pPr>
        <w:jc w:val="both"/>
        <w:rPr>
          <w:b/>
        </w:rPr>
      </w:pPr>
    </w:p>
    <w:p w:rsidR="003669E5" w:rsidRDefault="003669E5" w:rsidP="003669E5">
      <w:pPr>
        <w:jc w:val="both"/>
      </w:pPr>
      <w:r>
        <w:t xml:space="preserve">Response:  </w:t>
      </w:r>
      <w:r w:rsidR="000E6A0F">
        <w:t xml:space="preserve">Grayson College does </w:t>
      </w:r>
      <w:r w:rsidR="000E6A0F" w:rsidRPr="000E6A0F">
        <w:rPr>
          <w:u w:val="single"/>
        </w:rPr>
        <w:t>not</w:t>
      </w:r>
      <w:r w:rsidR="000E6A0F">
        <w:t xml:space="preserve"> use soft dollar, directed brokerage or directed commission, commission recapture, or similar arrangement.</w:t>
      </w:r>
    </w:p>
    <w:p w:rsidR="003669E5" w:rsidRDefault="007F7CC4" w:rsidP="003669E5">
      <w:pPr>
        <w:jc w:val="both"/>
      </w:pPr>
      <w:r>
        <w:br w:type="page"/>
      </w:r>
    </w:p>
    <w:p w:rsidR="003669E5" w:rsidRDefault="003669E5" w:rsidP="003669E5">
      <w:pPr>
        <w:jc w:val="both"/>
        <w:rPr>
          <w:b/>
        </w:rPr>
      </w:pPr>
      <w:r>
        <w:rPr>
          <w:b/>
        </w:rPr>
        <w:lastRenderedPageBreak/>
        <w:t>Question 3:  Is the institution associated with an independent endowment or foundation?  (If the answer to this question is yes, the institution must provide contact information [name and address] for the individual[s] who mange the independent endowment or foundation.  The institution must also provide, if available, the market value of the endowment’s or foundation’s investments.</w:t>
      </w:r>
      <w:r w:rsidR="000051F7">
        <w:rPr>
          <w:b/>
        </w:rPr>
        <w:t>)</w:t>
      </w:r>
    </w:p>
    <w:p w:rsidR="000051F7" w:rsidRDefault="000051F7" w:rsidP="003669E5">
      <w:pPr>
        <w:jc w:val="both"/>
        <w:rPr>
          <w:b/>
        </w:rPr>
      </w:pPr>
    </w:p>
    <w:p w:rsidR="000051F7" w:rsidRDefault="002A7318" w:rsidP="003669E5">
      <w:pPr>
        <w:jc w:val="both"/>
      </w:pPr>
      <w:r>
        <w:t>Response:  Grayson</w:t>
      </w:r>
      <w:r w:rsidR="000051F7">
        <w:t xml:space="preserve"> College is ass</w:t>
      </w:r>
      <w:r w:rsidR="00384A8B">
        <w:t xml:space="preserve">ociated with the Grayson </w:t>
      </w:r>
      <w:r w:rsidR="000051F7">
        <w:t xml:space="preserve">College Foundation, Inc.  </w:t>
      </w:r>
      <w:r w:rsidR="007545A1">
        <w:t>The manager</w:t>
      </w:r>
      <w:r w:rsidR="007F7CC4">
        <w:t xml:space="preserve"> of the Foundations investments are as follows:</w:t>
      </w:r>
    </w:p>
    <w:p w:rsidR="007F7CC4" w:rsidRDefault="007F7CC4" w:rsidP="003669E5">
      <w:pPr>
        <w:jc w:val="both"/>
      </w:pPr>
    </w:p>
    <w:p w:rsidR="007F7CC4" w:rsidRDefault="00C878B6" w:rsidP="007F7CC4">
      <w:pPr>
        <w:ind w:left="360"/>
        <w:jc w:val="center"/>
      </w:pPr>
      <w:r>
        <w:t>Mr. M. Brad Morgan</w:t>
      </w:r>
    </w:p>
    <w:p w:rsidR="00C878B6" w:rsidRDefault="00C878B6" w:rsidP="007F7CC4">
      <w:pPr>
        <w:ind w:left="360"/>
        <w:jc w:val="center"/>
      </w:pPr>
      <w:r>
        <w:t>First Vice President – Wealth Management</w:t>
      </w:r>
    </w:p>
    <w:p w:rsidR="00C878B6" w:rsidRDefault="00C878B6" w:rsidP="007F7CC4">
      <w:pPr>
        <w:ind w:left="360"/>
        <w:jc w:val="center"/>
      </w:pPr>
      <w:r>
        <w:t>Dutton &amp; Morgan Wealth Management Group</w:t>
      </w:r>
    </w:p>
    <w:p w:rsidR="00C878B6" w:rsidRDefault="00C878B6" w:rsidP="007F7CC4">
      <w:pPr>
        <w:ind w:left="360"/>
        <w:jc w:val="center"/>
      </w:pPr>
      <w:r>
        <w:t>Merrill Lynch, Pierce, Fenner &amp; Smith, Inc.</w:t>
      </w:r>
    </w:p>
    <w:p w:rsidR="00C878B6" w:rsidRDefault="00C878B6" w:rsidP="007F7CC4">
      <w:pPr>
        <w:ind w:left="360"/>
        <w:jc w:val="center"/>
      </w:pPr>
      <w:r>
        <w:t>1800 Teague Drive, Suite 102</w:t>
      </w:r>
    </w:p>
    <w:p w:rsidR="00C878B6" w:rsidRDefault="00C878B6" w:rsidP="007F7CC4">
      <w:pPr>
        <w:ind w:left="360"/>
        <w:jc w:val="center"/>
      </w:pPr>
      <w:r>
        <w:t>Sherman, TX  75090</w:t>
      </w:r>
    </w:p>
    <w:p w:rsidR="00C878B6" w:rsidRDefault="00C878B6" w:rsidP="007F7CC4">
      <w:pPr>
        <w:ind w:left="360"/>
        <w:jc w:val="center"/>
      </w:pPr>
      <w:r>
        <w:t>903-870-5461 (phone)</w:t>
      </w:r>
    </w:p>
    <w:p w:rsidR="00C878B6" w:rsidRDefault="00C878B6" w:rsidP="007F7CC4">
      <w:pPr>
        <w:ind w:left="360"/>
        <w:jc w:val="center"/>
      </w:pPr>
      <w:r>
        <w:t>903-487-0024 (fax)</w:t>
      </w:r>
    </w:p>
    <w:p w:rsidR="00C878B6" w:rsidRDefault="00C878B6" w:rsidP="007F7CC4">
      <w:pPr>
        <w:ind w:left="360"/>
        <w:jc w:val="center"/>
      </w:pPr>
    </w:p>
    <w:p w:rsidR="007F7CC4" w:rsidRPr="000051F7" w:rsidRDefault="004D7399" w:rsidP="004D7399">
      <w:pPr>
        <w:ind w:left="360"/>
      </w:pPr>
      <w:r>
        <w:t xml:space="preserve">As of </w:t>
      </w:r>
      <w:r w:rsidR="004D37B3">
        <w:t>August 31, 201</w:t>
      </w:r>
      <w:r w:rsidR="00C420A9">
        <w:t>7</w:t>
      </w:r>
      <w:r>
        <w:t xml:space="preserve">, the market value of the endowment funds was </w:t>
      </w:r>
      <w:r w:rsidR="00C420A9">
        <w:t>$12,690,948</w:t>
      </w:r>
      <w:r w:rsidR="00F772CB">
        <w:t xml:space="preserve">. </w:t>
      </w:r>
    </w:p>
    <w:sectPr w:rsidR="007F7CC4" w:rsidRPr="000051F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94428F"/>
    <w:multiLevelType w:val="hybridMultilevel"/>
    <w:tmpl w:val="2BA824F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2777414"/>
    <w:multiLevelType w:val="multilevel"/>
    <w:tmpl w:val="0A163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200E7A"/>
    <w:multiLevelType w:val="multilevel"/>
    <w:tmpl w:val="0F4A0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A6"/>
    <w:rsid w:val="000051F7"/>
    <w:rsid w:val="00094402"/>
    <w:rsid w:val="000E6A0F"/>
    <w:rsid w:val="001F5678"/>
    <w:rsid w:val="00285B8F"/>
    <w:rsid w:val="002A7318"/>
    <w:rsid w:val="003669E5"/>
    <w:rsid w:val="00381CE3"/>
    <w:rsid w:val="00384A8B"/>
    <w:rsid w:val="00445ACE"/>
    <w:rsid w:val="004D37B3"/>
    <w:rsid w:val="004D703C"/>
    <w:rsid w:val="004D7399"/>
    <w:rsid w:val="00576C99"/>
    <w:rsid w:val="00684BD7"/>
    <w:rsid w:val="007545A1"/>
    <w:rsid w:val="007F7CC4"/>
    <w:rsid w:val="008D6577"/>
    <w:rsid w:val="009418B2"/>
    <w:rsid w:val="00992A3B"/>
    <w:rsid w:val="009A3BA6"/>
    <w:rsid w:val="009F2DE0"/>
    <w:rsid w:val="00AC1E4C"/>
    <w:rsid w:val="00B77DCB"/>
    <w:rsid w:val="00BB0EFB"/>
    <w:rsid w:val="00BF2EC0"/>
    <w:rsid w:val="00C01E14"/>
    <w:rsid w:val="00C420A9"/>
    <w:rsid w:val="00C5051D"/>
    <w:rsid w:val="00C878B6"/>
    <w:rsid w:val="00CD71AF"/>
    <w:rsid w:val="00D52A2E"/>
    <w:rsid w:val="00DA6B47"/>
    <w:rsid w:val="00E15908"/>
    <w:rsid w:val="00EF6CF7"/>
    <w:rsid w:val="00F772CB"/>
    <w:rsid w:val="00FB4643"/>
    <w:rsid w:val="00FC1555"/>
    <w:rsid w:val="00FF14CE"/>
    <w:rsid w:val="00FF4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0C7693-AFF9-4E1D-AEFA-B17DD726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B4643"/>
    <w:rPr>
      <w:rFonts w:ascii="Tahoma" w:hAnsi="Tahoma" w:cs="Tahoma"/>
      <w:sz w:val="16"/>
      <w:szCs w:val="16"/>
    </w:rPr>
  </w:style>
  <w:style w:type="character" w:customStyle="1" w:styleId="BalloonTextChar">
    <w:name w:val="Balloon Text Char"/>
    <w:link w:val="BalloonText"/>
    <w:rsid w:val="00FB46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684191">
      <w:bodyDiv w:val="1"/>
      <w:marLeft w:val="0"/>
      <w:marRight w:val="0"/>
      <w:marTop w:val="0"/>
      <w:marBottom w:val="0"/>
      <w:divBdr>
        <w:top w:val="none" w:sz="0" w:space="0" w:color="auto"/>
        <w:left w:val="none" w:sz="0" w:space="0" w:color="auto"/>
        <w:bottom w:val="none" w:sz="0" w:space="0" w:color="auto"/>
        <w:right w:val="none" w:sz="0" w:space="0" w:color="auto"/>
      </w:divBdr>
    </w:div>
    <w:div w:id="194314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GRAYSON COUNTY COLLEGE</vt:lpstr>
    </vt:vector>
  </TitlesOfParts>
  <Company>Grayson County College</Company>
  <LinksUpToDate>false</LinksUpToDate>
  <CharactersWithSpaces>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GRAYSON COUNTY COLLEGE</dc:title>
  <dc:subject/>
  <dc:creator>Giles Brown</dc:creator>
  <cp:keywords/>
  <dc:description/>
  <cp:lastModifiedBy>Darlene Brown</cp:lastModifiedBy>
  <cp:revision>2</cp:revision>
  <cp:lastPrinted>2017-12-19T14:37:00Z</cp:lastPrinted>
  <dcterms:created xsi:type="dcterms:W3CDTF">2017-12-19T15:01:00Z</dcterms:created>
  <dcterms:modified xsi:type="dcterms:W3CDTF">2017-12-19T15:01:00Z</dcterms:modified>
</cp:coreProperties>
</file>